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81" w:type="dxa"/>
        <w:jc w:val="center"/>
        <w:tblInd w:w="-298" w:type="dxa"/>
        <w:tblLook w:val="04A0" w:firstRow="1" w:lastRow="0" w:firstColumn="1" w:lastColumn="0" w:noHBand="0" w:noVBand="1"/>
      </w:tblPr>
      <w:tblGrid>
        <w:gridCol w:w="824"/>
        <w:gridCol w:w="4607"/>
        <w:gridCol w:w="3850"/>
      </w:tblGrid>
      <w:tr w:rsidR="009F7CE8" w:rsidRPr="006A065F" w:rsidTr="00511CDA">
        <w:trPr>
          <w:trHeight w:val="45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STT</w:t>
            </w:r>
          </w:p>
        </w:tc>
        <w:tc>
          <w:tcPr>
            <w:tcW w:w="4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Tên hạng mục đầu tư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Kinh phí</w:t>
            </w:r>
          </w:p>
        </w:tc>
      </w:tr>
      <w:tr w:rsidR="009F7CE8" w:rsidRPr="006A065F" w:rsidTr="00511CDA">
        <w:trPr>
          <w:trHeight w:val="450"/>
          <w:jc w:val="center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1</w:t>
            </w:r>
          </w:p>
        </w:tc>
        <w:tc>
          <w:tcPr>
            <w:tcW w:w="4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Phay vạn năng</w:t>
            </w:r>
          </w:p>
        </w:tc>
        <w:tc>
          <w:tcPr>
            <w:tcW w:w="3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79.826.560.000 </w:t>
            </w:r>
          </w:p>
        </w:tc>
      </w:tr>
      <w:tr w:rsidR="009F7CE8" w:rsidRPr="006A065F" w:rsidTr="00511CDA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2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Công nghiệp CNC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67.594.100.000 </w:t>
            </w:r>
          </w:p>
        </w:tc>
      </w:tr>
      <w:tr w:rsidR="009F7CE8" w:rsidRPr="006A065F" w:rsidTr="00511CDA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3</w:t>
            </w:r>
          </w:p>
        </w:tc>
        <w:tc>
          <w:tcPr>
            <w:tcW w:w="46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Lập trình CNC</w:t>
            </w:r>
          </w:p>
        </w:tc>
        <w:tc>
          <w:tcPr>
            <w:tcW w:w="3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14.387.000.000 </w:t>
            </w:r>
          </w:p>
        </w:tc>
      </w:tr>
      <w:tr w:rsidR="009F7CE8" w:rsidRPr="006A065F" w:rsidTr="00511CDA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4</w:t>
            </w: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 xml:space="preserve">Phòng Thí nghiệm Đo </w:t>
            </w:r>
            <w:r w:rsidRPr="00FF32DD">
              <w:rPr>
                <w:sz w:val="26"/>
                <w:szCs w:val="26"/>
                <w:lang w:val="vi-VN" w:eastAsia="vi-VN"/>
              </w:rPr>
              <w:t>l</w:t>
            </w:r>
            <w:r w:rsidRPr="006A065F">
              <w:rPr>
                <w:sz w:val="26"/>
                <w:szCs w:val="26"/>
                <w:lang w:val="vi-VN" w:eastAsia="vi-VN"/>
              </w:rPr>
              <w:t>ường</w:t>
            </w:r>
          </w:p>
        </w:tc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</w:t>
            </w:r>
            <w:r w:rsidRPr="006A065F">
              <w:rPr>
                <w:color w:val="000000"/>
                <w:sz w:val="26"/>
                <w:szCs w:val="26"/>
              </w:rPr>
              <w:t xml:space="preserve">13.892.000.000 </w:t>
            </w:r>
          </w:p>
        </w:tc>
      </w:tr>
      <w:tr w:rsidR="009F7CE8" w:rsidRPr="006A065F" w:rsidTr="00511CDA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5</w:t>
            </w: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rPr>
                <w:sz w:val="26"/>
                <w:szCs w:val="26"/>
                <w:lang w:val="vi-VN" w:eastAsia="vi-VN"/>
              </w:rPr>
            </w:pPr>
            <w:r w:rsidRPr="006A065F">
              <w:rPr>
                <w:sz w:val="26"/>
                <w:szCs w:val="26"/>
                <w:lang w:val="vi-VN" w:eastAsia="vi-VN"/>
              </w:rPr>
              <w:t>Phòng Thí nghiệm Khí nén</w:t>
            </w:r>
          </w:p>
        </w:tc>
        <w:tc>
          <w:tcPr>
            <w:tcW w:w="3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right"/>
              <w:rPr>
                <w:color w:val="000000"/>
                <w:sz w:val="26"/>
                <w:szCs w:val="26"/>
              </w:rPr>
            </w:pPr>
            <w:r w:rsidRPr="00E81E28">
              <w:rPr>
                <w:color w:val="000000"/>
                <w:sz w:val="26"/>
                <w:szCs w:val="26"/>
                <w:lang w:val="vi-VN"/>
              </w:rPr>
              <w:t xml:space="preserve">       </w:t>
            </w:r>
            <w:r w:rsidRPr="006A065F">
              <w:rPr>
                <w:color w:val="000000"/>
                <w:sz w:val="26"/>
                <w:szCs w:val="26"/>
              </w:rPr>
              <w:t xml:space="preserve">7.684.000.000 </w:t>
            </w:r>
          </w:p>
        </w:tc>
      </w:tr>
      <w:tr w:rsidR="009F7CE8" w:rsidRPr="006A065F" w:rsidTr="00511CDA">
        <w:trPr>
          <w:trHeight w:val="450"/>
          <w:jc w:val="center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</w:p>
        </w:tc>
        <w:tc>
          <w:tcPr>
            <w:tcW w:w="460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center"/>
              <w:rPr>
                <w:b/>
                <w:bCs/>
                <w:sz w:val="26"/>
                <w:szCs w:val="26"/>
                <w:lang w:val="vi-VN" w:eastAsia="vi-VN"/>
              </w:rPr>
            </w:pPr>
            <w:r w:rsidRPr="006A065F">
              <w:rPr>
                <w:b/>
                <w:bCs/>
                <w:sz w:val="26"/>
                <w:szCs w:val="26"/>
                <w:lang w:val="vi-VN" w:eastAsia="vi-VN"/>
              </w:rPr>
              <w:t>TỔNG CỘNG</w:t>
            </w:r>
          </w:p>
        </w:tc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7CE8" w:rsidRPr="006A065F" w:rsidRDefault="009F7CE8" w:rsidP="00511CDA">
            <w:pPr>
              <w:jc w:val="right"/>
              <w:rPr>
                <w:b/>
                <w:bCs/>
                <w:color w:val="000000"/>
                <w:sz w:val="26"/>
                <w:szCs w:val="26"/>
              </w:rPr>
            </w:pPr>
            <w:r w:rsidRPr="006A065F">
              <w:rPr>
                <w:b/>
                <w:bCs/>
                <w:color w:val="000000"/>
                <w:sz w:val="26"/>
                <w:szCs w:val="26"/>
              </w:rPr>
              <w:t xml:space="preserve">   183.383.660.000 </w:t>
            </w:r>
          </w:p>
        </w:tc>
      </w:tr>
    </w:tbl>
    <w:p w:rsidR="009F7CE8" w:rsidRDefault="009F7CE8" w:rsidP="009F7CE8">
      <w:pPr>
        <w:spacing w:before="120"/>
        <w:ind w:left="927"/>
        <w:rPr>
          <w:b/>
          <w:i/>
          <w:sz w:val="26"/>
          <w:szCs w:val="26"/>
          <w:lang w:val="pt-BR"/>
        </w:rPr>
      </w:pPr>
    </w:p>
    <w:p w:rsidR="009F7CE8" w:rsidRPr="0084653F" w:rsidRDefault="009F7CE8" w:rsidP="009F7CE8">
      <w:pPr>
        <w:pStyle w:val="Heading3"/>
        <w:numPr>
          <w:ilvl w:val="2"/>
          <w:numId w:val="2"/>
        </w:numPr>
        <w:tabs>
          <w:tab w:val="left" w:pos="851"/>
        </w:tabs>
        <w:spacing w:before="120"/>
        <w:ind w:firstLine="426"/>
        <w:jc w:val="both"/>
        <w:rPr>
          <w:lang w:val="pt-BR"/>
        </w:rPr>
      </w:pPr>
      <w:bookmarkStart w:id="0" w:name="_Toc505261396"/>
      <w:r w:rsidRPr="00D72E3E">
        <w:rPr>
          <w:lang w:val="pt-BR"/>
        </w:rPr>
        <w:t xml:space="preserve">Tổng mức đầu tư: </w:t>
      </w:r>
      <w:r w:rsidRPr="00BE5768">
        <w:rPr>
          <w:lang w:val="pt-BR"/>
        </w:rPr>
        <w:t>199.674.806.000</w:t>
      </w:r>
      <w:r>
        <w:rPr>
          <w:lang w:val="pt-BR"/>
        </w:rPr>
        <w:t xml:space="preserve"> </w:t>
      </w:r>
      <w:r w:rsidRPr="00D72E3E">
        <w:rPr>
          <w:lang w:val="pt-BR"/>
        </w:rPr>
        <w:t>đồng</w:t>
      </w:r>
      <w:bookmarkEnd w:id="0"/>
    </w:p>
    <w:tbl>
      <w:tblPr>
        <w:tblW w:w="14414" w:type="dxa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608"/>
        <w:gridCol w:w="4344"/>
        <w:gridCol w:w="1011"/>
        <w:gridCol w:w="2655"/>
        <w:gridCol w:w="1984"/>
        <w:gridCol w:w="1841"/>
        <w:gridCol w:w="1971"/>
      </w:tblGrid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4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NỘI DUNG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Ký hiệu</w:t>
            </w:r>
          </w:p>
        </w:tc>
        <w:tc>
          <w:tcPr>
            <w:tcW w:w="26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Cách tính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Giá trị trước thuế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Thuế VAT</w:t>
            </w:r>
          </w:p>
        </w:tc>
        <w:tc>
          <w:tcPr>
            <w:tcW w:w="1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Thành tiền sau thuế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I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CHI PHÍ THIẾT BỊ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Gtb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166.712.418.182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16.671.241.818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183.383.660.000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II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CHI PHÍ QUẢN LÝ DỰ ÁN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Gql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Gtb x 1,838%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3.064.174.246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306.417.425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3.370.591.671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III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CHI PHÍ TƯ VẤN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Gtv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sz w:val="24"/>
                <w:szCs w:val="24"/>
              </w:rPr>
            </w:pPr>
            <w:r w:rsidRPr="00BE5768">
              <w:rPr>
                <w:b/>
                <w:bCs/>
                <w:sz w:val="24"/>
              </w:rPr>
              <w:t>2.027.223.005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202.722.301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2.229.945.306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lập báo cáo nghiên cứu khả thi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Gtb x 0,446%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743.537.385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74.353.739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817.891.124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thẩm tra báo cáo nghiên cứu khả thi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Gtb x 0,079%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131.702.810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13.170.281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144.873.091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thẩm định giá thiết bị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Gtb x 0,2%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333.424.836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33.342.484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366.767.320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4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lập hồ sơ mời thầu, đánh giá hồ sơ dự thầu mua sắm vậy tư thiết bị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Gtb x 0,106%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sz w:val="24"/>
                <w:szCs w:val="24"/>
              </w:rPr>
            </w:pPr>
            <w:r w:rsidRPr="00BE5768">
              <w:rPr>
                <w:sz w:val="24"/>
              </w:rPr>
              <w:t>176.715.163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17.671.516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194.386.680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5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 xml:space="preserve">Chi phí thẩm định kết quả lựa chọn nhà thầu cung cấp thiết bị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Gtb x 0,05%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83.356.209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8.335.621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91.691.830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6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giám sát lắp đặt thiết bị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Gtb x 0,335%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558.486.601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55.848.660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614.335.261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IV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CHI PHÍ KHÁC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Gk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1.074.804.669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107.480.467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1.182.285.136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thẩm tra quyết toán vốn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[(Gtb + Gql + Gtv) x 0,348%]x70%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418.514.094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41.851.409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460.365.504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Kiểm toán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[(Gtb + Gql + Gtv) x 0,53%]x70%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637.392.155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63.739.216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701.131.371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3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thẩm định dự án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 xml:space="preserve">(Gtb + Gql + Gtv) x </w:t>
            </w:r>
            <w:r w:rsidRPr="00BE5768">
              <w:rPr>
                <w:color w:val="000000"/>
                <w:sz w:val="24"/>
              </w:rPr>
              <w:lastRenderedPageBreak/>
              <w:t>0,011%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lastRenderedPageBreak/>
              <w:t>18.898.420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1.889.842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20.788.262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lastRenderedPageBreak/>
              <w:t>V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CHI PHÍ DỰ PHÒNG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 Gdp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Gdp=Gdp1+Gdp2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8.643.931.005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864.393.101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9.508.324.106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1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dự phòng do khối lượng công việc phát sinh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Gdp1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0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0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0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2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Chi phí dự phòng do trượt giá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sz w:val="24"/>
                <w:szCs w:val="24"/>
              </w:rPr>
            </w:pPr>
            <w:r w:rsidRPr="003A3E7D">
              <w:rPr>
                <w:sz w:val="24"/>
                <w:szCs w:val="24"/>
              </w:rPr>
              <w:t> Gdp2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center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(Gtb + Gql + Gtv + Gk) x 5%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8.643.931.005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864.393.101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color w:val="000000"/>
                <w:sz w:val="24"/>
                <w:szCs w:val="24"/>
              </w:rPr>
            </w:pPr>
            <w:r w:rsidRPr="00BE5768">
              <w:rPr>
                <w:color w:val="000000"/>
                <w:sz w:val="24"/>
              </w:rPr>
              <w:t>9.508.324.106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VI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 xml:space="preserve">TỔNG KHÁI TOÁN 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181.522.551.108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18.152.255.111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199.674.806.218</w:t>
            </w:r>
          </w:p>
        </w:tc>
      </w:tr>
      <w:tr w:rsidR="009F7CE8" w:rsidRPr="003A3E7D" w:rsidTr="00511CDA">
        <w:trPr>
          <w:trHeight w:val="288"/>
          <w:jc w:val="center"/>
        </w:trPr>
        <w:tc>
          <w:tcPr>
            <w:tcW w:w="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VII</w:t>
            </w:r>
          </w:p>
        </w:tc>
        <w:tc>
          <w:tcPr>
            <w:tcW w:w="4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TỔNG KHÁI TOÁN (làm tròn)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3A3E7D" w:rsidRDefault="009F7CE8" w:rsidP="00511CDA">
            <w:pPr>
              <w:jc w:val="center"/>
              <w:rPr>
                <w:b/>
                <w:bCs/>
                <w:sz w:val="24"/>
                <w:szCs w:val="24"/>
              </w:rPr>
            </w:pPr>
            <w:r w:rsidRPr="003A3E7D">
              <w:rPr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2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F7CE8" w:rsidRPr="00BE5768" w:rsidRDefault="009F7CE8" w:rsidP="00511CD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BE5768">
              <w:rPr>
                <w:b/>
                <w:bCs/>
                <w:color w:val="000000"/>
                <w:sz w:val="24"/>
              </w:rPr>
              <w:t>199.674.806.000</w:t>
            </w:r>
          </w:p>
        </w:tc>
      </w:tr>
    </w:tbl>
    <w:p w:rsidR="009F7CE8" w:rsidRPr="00BA4847" w:rsidRDefault="009F7CE8" w:rsidP="009F7CE8">
      <w:pPr>
        <w:spacing w:before="120" w:line="276" w:lineRule="auto"/>
        <w:ind w:left="-284"/>
        <w:jc w:val="center"/>
        <w:rPr>
          <w:i/>
          <w:sz w:val="26"/>
          <w:szCs w:val="26"/>
        </w:rPr>
        <w:sectPr w:rsidR="009F7CE8" w:rsidRPr="00BA4847" w:rsidSect="000C1702">
          <w:pgSz w:w="16840" w:h="11907" w:orient="landscape" w:code="9"/>
          <w:pgMar w:top="851" w:right="567" w:bottom="993" w:left="851" w:header="567" w:footer="275" w:gutter="0"/>
          <w:cols w:space="720"/>
          <w:docGrid w:linePitch="381"/>
        </w:sectPr>
      </w:pPr>
      <w:r>
        <w:rPr>
          <w:i/>
          <w:sz w:val="26"/>
          <w:szCs w:val="26"/>
        </w:rPr>
        <w:t>(</w:t>
      </w:r>
      <w:r w:rsidRPr="00BA4847">
        <w:rPr>
          <w:i/>
          <w:sz w:val="26"/>
          <w:szCs w:val="26"/>
        </w:rPr>
        <w:t xml:space="preserve">Cơ sở tính: </w:t>
      </w:r>
      <w:r>
        <w:rPr>
          <w:i/>
          <w:sz w:val="26"/>
          <w:szCs w:val="26"/>
        </w:rPr>
        <w:t xml:space="preserve">căn cứ </w:t>
      </w:r>
      <w:r w:rsidRPr="00BA4847">
        <w:rPr>
          <w:i/>
          <w:sz w:val="26"/>
          <w:szCs w:val="26"/>
        </w:rPr>
        <w:t xml:space="preserve">QĐ số 79/QĐ-BXD của Bộ Xây </w:t>
      </w:r>
      <w:r>
        <w:rPr>
          <w:i/>
          <w:sz w:val="26"/>
          <w:szCs w:val="26"/>
        </w:rPr>
        <w:t>d</w:t>
      </w:r>
      <w:r w:rsidRPr="00BA4847">
        <w:rPr>
          <w:i/>
          <w:sz w:val="26"/>
          <w:szCs w:val="26"/>
        </w:rPr>
        <w:t xml:space="preserve">ựng, </w:t>
      </w:r>
      <w:r>
        <w:rPr>
          <w:i/>
          <w:sz w:val="26"/>
          <w:szCs w:val="26"/>
        </w:rPr>
        <w:t xml:space="preserve">NĐ </w:t>
      </w:r>
      <w:r w:rsidRPr="00BE5768">
        <w:rPr>
          <w:i/>
          <w:sz w:val="26"/>
          <w:szCs w:val="26"/>
        </w:rPr>
        <w:t>63/2014/NĐ-CP</w:t>
      </w:r>
      <w:r>
        <w:rPr>
          <w:i/>
          <w:sz w:val="26"/>
          <w:szCs w:val="26"/>
        </w:rPr>
        <w:t xml:space="preserve"> của Thủ tướng Chính phủ, </w:t>
      </w:r>
      <w:r w:rsidRPr="00BA4847">
        <w:rPr>
          <w:i/>
          <w:sz w:val="26"/>
          <w:szCs w:val="26"/>
        </w:rPr>
        <w:t xml:space="preserve">TT số 209/2016/TT-BTC của Bộ Tài </w:t>
      </w:r>
      <w:r>
        <w:rPr>
          <w:i/>
          <w:sz w:val="26"/>
          <w:szCs w:val="26"/>
        </w:rPr>
        <w:t>c</w:t>
      </w:r>
      <w:r w:rsidRPr="00BA4847">
        <w:rPr>
          <w:i/>
          <w:sz w:val="26"/>
          <w:szCs w:val="26"/>
        </w:rPr>
        <w:t xml:space="preserve">hính, TT số 09/2016/TT-BTC của Bộ Tài </w:t>
      </w:r>
      <w:r>
        <w:rPr>
          <w:i/>
          <w:sz w:val="26"/>
          <w:szCs w:val="26"/>
        </w:rPr>
        <w:t>c</w:t>
      </w:r>
      <w:r w:rsidRPr="00BA4847">
        <w:rPr>
          <w:i/>
          <w:sz w:val="26"/>
          <w:szCs w:val="26"/>
        </w:rPr>
        <w:t>hính</w:t>
      </w:r>
      <w:r>
        <w:rPr>
          <w:i/>
          <w:sz w:val="26"/>
          <w:szCs w:val="26"/>
        </w:rPr>
        <w:t>)</w:t>
      </w:r>
    </w:p>
    <w:p w:rsidR="0012256F" w:rsidRDefault="0012256F">
      <w:bookmarkStart w:id="1" w:name="_GoBack"/>
      <w:bookmarkEnd w:id="1"/>
    </w:p>
    <w:sectPr w:rsidR="001225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9647A"/>
    <w:multiLevelType w:val="multilevel"/>
    <w:tmpl w:val="7F9891DE"/>
    <w:lvl w:ilvl="0">
      <w:start w:val="1"/>
      <w:numFmt w:val="upperRoman"/>
      <w:pStyle w:val="Heading1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hint="default"/>
        <w:b/>
      </w:rPr>
    </w:lvl>
    <w:lvl w:ilvl="2">
      <w:numFmt w:val="decimal"/>
      <w:pStyle w:val="Heading3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pStyle w:val="Heading4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">
    <w:nsid w:val="63A6306D"/>
    <w:multiLevelType w:val="multilevel"/>
    <w:tmpl w:val="7BE8F19C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/>
      </w:rPr>
    </w:lvl>
    <w:lvl w:ilvl="2">
      <w:start w:val="1"/>
      <w:numFmt w:val="decimal"/>
      <w:lvlText w:val="4.%3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CE8"/>
    <w:rsid w:val="0012256F"/>
    <w:rsid w:val="009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C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aliases w:val="Heading 1 Char1,Heading 1 Char Char,Heading 1 Char1 Char Char,Heading 1 Char Char Char Char,Char Char Char Char Char,Heading 1 Char Char1,Heading 1 Char1 Char,Heading 1 Char Char Char,Char Char Char,Char Ch,Heading 1(Report Only),Chapter,H1,1,h1"/>
    <w:basedOn w:val="Normal"/>
    <w:next w:val="Normal"/>
    <w:link w:val="Heading1Char"/>
    <w:qFormat/>
    <w:rsid w:val="009F7CE8"/>
    <w:pPr>
      <w:keepNext/>
      <w:numPr>
        <w:numId w:val="1"/>
      </w:numPr>
      <w:spacing w:line="360" w:lineRule="auto"/>
      <w:jc w:val="center"/>
      <w:outlineLvl w:val="0"/>
    </w:pPr>
    <w:rPr>
      <w:b/>
      <w:bCs/>
      <w:kern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9F7CE8"/>
    <w:pPr>
      <w:keepNext/>
      <w:numPr>
        <w:ilvl w:val="1"/>
        <w:numId w:val="1"/>
      </w:numPr>
      <w:spacing w:before="240" w:after="60"/>
      <w:outlineLvl w:val="1"/>
    </w:pPr>
    <w:rPr>
      <w:b/>
      <w:bCs/>
      <w:iCs/>
      <w:sz w:val="26"/>
    </w:rPr>
  </w:style>
  <w:style w:type="paragraph" w:styleId="Heading3">
    <w:name w:val="heading 3"/>
    <w:aliases w:val="Char2,Level 1 - 1,ASAPHeading 3,h3,H3&lt;------------------,(Appendix Nbr),3 bullet,2,b,bullets,31,32,33,34,35,36,37,38,39,310,311,312,313,314,315,321,331,341,351,361,371,381,391,3101,3111,3121,3131,316,322,332,342,352,362,372,382,392,l3,h31,H3"/>
    <w:basedOn w:val="Normal"/>
    <w:next w:val="Normal"/>
    <w:link w:val="Heading3Char"/>
    <w:qFormat/>
    <w:rsid w:val="009F7CE8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  <w:lang w:val="x-none" w:eastAsia="x-none"/>
    </w:rPr>
  </w:style>
  <w:style w:type="paragraph" w:styleId="Heading4">
    <w:name w:val="heading 4"/>
    <w:aliases w:val="Char1"/>
    <w:basedOn w:val="Normal"/>
    <w:next w:val="Normal"/>
    <w:link w:val="Heading4Char"/>
    <w:unhideWhenUsed/>
    <w:qFormat/>
    <w:rsid w:val="009F7CE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7CE8"/>
    <w:rPr>
      <w:rFonts w:ascii="Times New Roman" w:eastAsia="Times New Roman" w:hAnsi="Times New Roman" w:cs="Times New Roman"/>
      <w:b/>
      <w:bCs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9F7CE8"/>
    <w:rPr>
      <w:rFonts w:ascii="Times New Roman" w:eastAsia="Times New Roman" w:hAnsi="Times New Roman" w:cs="Times New Roman"/>
      <w:b/>
      <w:bCs/>
      <w:iCs/>
      <w:sz w:val="26"/>
      <w:szCs w:val="28"/>
    </w:rPr>
  </w:style>
  <w:style w:type="character" w:customStyle="1" w:styleId="Heading3Char">
    <w:name w:val="Heading 3 Char"/>
    <w:aliases w:val="Level 1 - 1 Char,ASAPHeading 3 Char,h3 Char,H3&lt;------------------ Char,(Appendix Nbr) Char,3 bullet Char,2 Char,b Char,bullets Char,31 Char,32 Char,33 Char,34 Char,35 Char,36 Char,37 Char,38 Char,39 Char,310 Char,311 Char,312 Char,l3 Char"/>
    <w:basedOn w:val="DefaultParagraphFont"/>
    <w:link w:val="Heading3"/>
    <w:rsid w:val="009F7CE8"/>
    <w:rPr>
      <w:rFonts w:ascii="Times New Roman" w:eastAsia="Times New Roman" w:hAnsi="Times New Roman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9F7CE8"/>
    <w:rPr>
      <w:rFonts w:ascii="Calibri" w:eastAsia="Times New Roman" w:hAnsi="Calibri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7CE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Heading1">
    <w:name w:val="heading 1"/>
    <w:aliases w:val="Heading 1 Char1,Heading 1 Char Char,Heading 1 Char1 Char Char,Heading 1 Char Char Char Char,Char Char Char Char Char,Heading 1 Char Char1,Heading 1 Char1 Char,Heading 1 Char Char Char,Char Char Char,Char Ch,Heading 1(Report Only),Chapter,H1,1,h1"/>
    <w:basedOn w:val="Normal"/>
    <w:next w:val="Normal"/>
    <w:link w:val="Heading1Char"/>
    <w:qFormat/>
    <w:rsid w:val="009F7CE8"/>
    <w:pPr>
      <w:keepNext/>
      <w:numPr>
        <w:numId w:val="1"/>
      </w:numPr>
      <w:spacing w:line="360" w:lineRule="auto"/>
      <w:jc w:val="center"/>
      <w:outlineLvl w:val="0"/>
    </w:pPr>
    <w:rPr>
      <w:b/>
      <w:bCs/>
      <w:kern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qFormat/>
    <w:rsid w:val="009F7CE8"/>
    <w:pPr>
      <w:keepNext/>
      <w:numPr>
        <w:ilvl w:val="1"/>
        <w:numId w:val="1"/>
      </w:numPr>
      <w:spacing w:before="240" w:after="60"/>
      <w:outlineLvl w:val="1"/>
    </w:pPr>
    <w:rPr>
      <w:b/>
      <w:bCs/>
      <w:iCs/>
      <w:sz w:val="26"/>
    </w:rPr>
  </w:style>
  <w:style w:type="paragraph" w:styleId="Heading3">
    <w:name w:val="heading 3"/>
    <w:aliases w:val="Char2,Level 1 - 1,ASAPHeading 3,h3,H3&lt;------------------,(Appendix Nbr),3 bullet,2,b,bullets,31,32,33,34,35,36,37,38,39,310,311,312,313,314,315,321,331,341,351,361,371,381,391,3101,3111,3121,3131,316,322,332,342,352,362,372,382,392,l3,h31,H3"/>
    <w:basedOn w:val="Normal"/>
    <w:next w:val="Normal"/>
    <w:link w:val="Heading3Char"/>
    <w:qFormat/>
    <w:rsid w:val="009F7CE8"/>
    <w:pPr>
      <w:keepNext/>
      <w:numPr>
        <w:ilvl w:val="2"/>
        <w:numId w:val="1"/>
      </w:numPr>
      <w:spacing w:before="240" w:after="60"/>
      <w:outlineLvl w:val="2"/>
    </w:pPr>
    <w:rPr>
      <w:b/>
      <w:bCs/>
      <w:sz w:val="26"/>
      <w:szCs w:val="26"/>
      <w:lang w:val="x-none" w:eastAsia="x-none"/>
    </w:rPr>
  </w:style>
  <w:style w:type="paragraph" w:styleId="Heading4">
    <w:name w:val="heading 4"/>
    <w:aliases w:val="Char1"/>
    <w:basedOn w:val="Normal"/>
    <w:next w:val="Normal"/>
    <w:link w:val="Heading4Char"/>
    <w:unhideWhenUsed/>
    <w:qFormat/>
    <w:rsid w:val="009F7CE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F7CE8"/>
    <w:rPr>
      <w:rFonts w:ascii="Times New Roman" w:eastAsia="Times New Roman" w:hAnsi="Times New Roman" w:cs="Times New Roman"/>
      <w:b/>
      <w:bCs/>
      <w:kern w:val="32"/>
      <w:sz w:val="28"/>
      <w:szCs w:val="32"/>
      <w:lang w:val="x-none" w:eastAsia="x-none"/>
    </w:rPr>
  </w:style>
  <w:style w:type="character" w:customStyle="1" w:styleId="Heading2Char">
    <w:name w:val="Heading 2 Char"/>
    <w:basedOn w:val="DefaultParagraphFont"/>
    <w:link w:val="Heading2"/>
    <w:rsid w:val="009F7CE8"/>
    <w:rPr>
      <w:rFonts w:ascii="Times New Roman" w:eastAsia="Times New Roman" w:hAnsi="Times New Roman" w:cs="Times New Roman"/>
      <w:b/>
      <w:bCs/>
      <w:iCs/>
      <w:sz w:val="26"/>
      <w:szCs w:val="28"/>
    </w:rPr>
  </w:style>
  <w:style w:type="character" w:customStyle="1" w:styleId="Heading3Char">
    <w:name w:val="Heading 3 Char"/>
    <w:aliases w:val="Level 1 - 1 Char,ASAPHeading 3 Char,h3 Char,H3&lt;------------------ Char,(Appendix Nbr) Char,3 bullet Char,2 Char,b Char,bullets Char,31 Char,32 Char,33 Char,34 Char,35 Char,36 Char,37 Char,38 Char,39 Char,310 Char,311 Char,312 Char,l3 Char"/>
    <w:basedOn w:val="DefaultParagraphFont"/>
    <w:link w:val="Heading3"/>
    <w:rsid w:val="009F7CE8"/>
    <w:rPr>
      <w:rFonts w:ascii="Times New Roman" w:eastAsia="Times New Roman" w:hAnsi="Times New Roman" w:cs="Times New Roman"/>
      <w:b/>
      <w:bCs/>
      <w:sz w:val="26"/>
      <w:szCs w:val="26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9F7CE8"/>
    <w:rPr>
      <w:rFonts w:ascii="Calibri" w:eastAsia="Times New Roman" w:hAnsi="Calibri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324</Words>
  <Characters>1847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2019-03-25T04:30:00Z</dcterms:created>
  <dcterms:modified xsi:type="dcterms:W3CDTF">2019-03-25T04:32:00Z</dcterms:modified>
</cp:coreProperties>
</file>